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F71DE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-1122045</wp:posOffset>
            </wp:positionV>
            <wp:extent cx="2495550" cy="1665780"/>
            <wp:effectExtent l="0" t="0" r="0" b="0"/>
            <wp:wrapNone/>
            <wp:docPr id="13" name="Immagine 13" descr="Risultati immagini per LA VALLE DELL'omo et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LA VALLE DELL'omo eti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5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-76200</wp:posOffset>
            </wp:positionH>
            <wp:positionV relativeFrom="paragraph">
              <wp:posOffset>-751205</wp:posOffset>
            </wp:positionV>
            <wp:extent cx="3057525" cy="1877520"/>
            <wp:effectExtent l="0" t="0" r="0" b="8890"/>
            <wp:wrapNone/>
            <wp:docPr id="10" name="Immagine 10" descr="Risultati immagini per LA VALLE DELL'omo et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LA VALLE DELL'omo etiop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 t="11066" r="3384" b="15573"/>
                    <a:stretch/>
                  </pic:blipFill>
                  <pic:spPr bwMode="auto">
                    <a:xfrm>
                      <a:off x="0" y="0"/>
                      <a:ext cx="3057525" cy="187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  <w:r w:rsidRPr="00F71DE7">
        <w:t xml:space="preserve"> </w:t>
      </w:r>
    </w:p>
    <w:p w:rsidR="000A35AE" w:rsidRPr="008F1D21" w:rsidRDefault="002643C5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F71DE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2306320</wp:posOffset>
            </wp:positionH>
            <wp:positionV relativeFrom="paragraph">
              <wp:posOffset>5715</wp:posOffset>
            </wp:positionV>
            <wp:extent cx="5418035" cy="1890395"/>
            <wp:effectExtent l="0" t="0" r="0" b="0"/>
            <wp:wrapNone/>
            <wp:docPr id="8" name="Immagine 8" descr="Risultati immagini per LA VALLE DELL'omo et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LA VALLE DELL'omo etiop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035" cy="1890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08C" w:rsidRDefault="00F71DE7" w:rsidP="00287226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156D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86BBC" w:rsidRPr="0050156D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</w:t>
      </w:r>
      <w:r w:rsidR="00115247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Il </w:t>
      </w:r>
      <w:r w:rsidR="00DE4599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Sud</w:t>
      </w:r>
      <w:r w:rsidR="00115247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dell’</w:t>
      </w:r>
      <w:r w:rsidR="00876B01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Etiopia</w:t>
      </w:r>
      <w:r w:rsidRPr="00F71DE7">
        <w:t xml:space="preserve"> </w:t>
      </w:r>
    </w:p>
    <w:p w:rsidR="00115247" w:rsidRPr="007430F5" w:rsidRDefault="00DE4599" w:rsidP="00287226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FFFFF" w:themeColor="background1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LA VALLE DELL’OMO </w:t>
      </w:r>
      <w:r w:rsidRPr="007430F5">
        <w:rPr>
          <w:rFonts w:asciiTheme="minorHAnsi" w:hAnsiTheme="minorHAnsi" w:cstheme="minorHAnsi"/>
          <w:b/>
          <w:bCs/>
          <w:color w:val="FFFFFF" w:themeColor="background1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 4x4</w:t>
      </w:r>
    </w:p>
    <w:p w:rsidR="00A87711" w:rsidRPr="0050156D" w:rsidRDefault="00876B01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686BBC" w:rsidRPr="0050156D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 / </w:t>
      </w:r>
      <w:r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686BBC" w:rsidRPr="0050156D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5D0354" w:rsidRDefault="005D0354" w:rsidP="005D035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451E7" w:rsidRPr="00A52CC2" w:rsidRDefault="00C451E7" w:rsidP="00357A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QUOTA DI</w:t>
      </w:r>
      <w:r w:rsidR="00807D90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PARTECIPAZIONE</w:t>
      </w:r>
      <w:r w:rsidR="00A52CC2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€ </w:t>
      </w:r>
      <w:r w:rsidR="00876B01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1.</w:t>
      </w:r>
      <w:r w:rsidR="00DE4599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4</w:t>
      </w:r>
      <w:r w:rsidR="00876B01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50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,00</w:t>
      </w:r>
    </w:p>
    <w:p w:rsidR="00C451E7" w:rsidRPr="00A52CC2" w:rsidRDefault="00C451E7" w:rsidP="00BF05A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50156D" w:rsidRPr="00115247" w:rsidRDefault="00B555FA" w:rsidP="00115247">
      <w:pPr>
        <w:pStyle w:val="NormaleWeb"/>
        <w:tabs>
          <w:tab w:val="left" w:pos="1185"/>
          <w:tab w:val="center" w:pos="4960"/>
          <w:tab w:val="left" w:pos="7425"/>
        </w:tabs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3C1D504" wp14:editId="4E15D172">
            <wp:simplePos x="0" y="0"/>
            <wp:positionH relativeFrom="column">
              <wp:posOffset>31115</wp:posOffset>
            </wp:positionH>
            <wp:positionV relativeFrom="paragraph">
              <wp:posOffset>429895</wp:posOffset>
            </wp:positionV>
            <wp:extent cx="6391275" cy="3390900"/>
            <wp:effectExtent l="0" t="57150" r="85725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B01">
        <w:rPr>
          <w:rFonts w:asciiTheme="minorHAnsi" w:hAnsiTheme="minorHAnsi" w:cstheme="minorHAnsi"/>
          <w:b/>
          <w:bCs/>
          <w:color w:val="000000" w:themeColor="text1"/>
          <w:sz w:val="22"/>
        </w:rPr>
        <w:t>Partenz</w:t>
      </w:r>
      <w:r w:rsidR="00115247">
        <w:rPr>
          <w:rFonts w:asciiTheme="minorHAnsi" w:hAnsiTheme="minorHAnsi" w:cstheme="minorHAnsi"/>
          <w:b/>
          <w:bCs/>
          <w:color w:val="000000" w:themeColor="text1"/>
          <w:sz w:val="22"/>
        </w:rPr>
        <w:t>a</w:t>
      </w:r>
      <w:r w:rsidR="00876B01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tutti i venerdì dall’Italia</w:t>
      </w:r>
      <w:bookmarkStart w:id="0" w:name="_GoBack"/>
      <w:bookmarkEnd w:id="0"/>
    </w:p>
    <w:p w:rsidR="00854550" w:rsidRDefault="00854550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B555FA" w:rsidRDefault="00B555FA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OPERATIVO VOLI:</w:t>
      </w:r>
    </w:p>
    <w:p w:rsidR="00B555FA" w:rsidRDefault="00B555FA" w:rsidP="00BB3B89">
      <w:pPr>
        <w:pStyle w:val="NormaleWeb"/>
        <w:spacing w:before="0" w:beforeAutospacing="0" w:after="0"/>
        <w:rPr>
          <w:rFonts w:asciiTheme="minorHAnsi" w:hAnsiTheme="minorHAnsi" w:cstheme="minorHAnsi"/>
          <w:bCs/>
          <w:color w:val="000000" w:themeColor="text1"/>
        </w:rPr>
      </w:pPr>
      <w:proofErr w:type="gramStart"/>
      <w:r>
        <w:rPr>
          <w:rFonts w:asciiTheme="minorHAnsi" w:hAnsiTheme="minorHAnsi" w:cstheme="minorHAnsi"/>
          <w:bCs/>
          <w:color w:val="000000" w:themeColor="text1"/>
        </w:rPr>
        <w:t>Andata:</w:t>
      </w:r>
      <w:r w:rsidR="00781758">
        <w:rPr>
          <w:rFonts w:asciiTheme="minorHAnsi" w:hAnsiTheme="minorHAnsi" w:cstheme="minorHAnsi"/>
          <w:bCs/>
          <w:color w:val="000000" w:themeColor="text1"/>
        </w:rPr>
        <w:tab/>
      </w:r>
      <w:proofErr w:type="gramEnd"/>
      <w:r>
        <w:rPr>
          <w:rFonts w:asciiTheme="minorHAnsi" w:hAnsiTheme="minorHAnsi" w:cstheme="minorHAnsi"/>
          <w:bCs/>
          <w:color w:val="000000" w:themeColor="text1"/>
        </w:rPr>
        <w:t xml:space="preserve">venerdì </w:t>
      </w:r>
      <w:r w:rsidR="0022300F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 xml:space="preserve">ET 713 </w:t>
      </w:r>
      <w:r w:rsidR="00115247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 xml:space="preserve">Roma FCO-Addis Abeba </w:t>
      </w:r>
      <w:r w:rsidR="00115247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>23.00-06.40 + 1</w:t>
      </w:r>
    </w:p>
    <w:p w:rsidR="00876B01" w:rsidRDefault="00B555FA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Ritorno: </w:t>
      </w:r>
      <w:r w:rsidR="00781758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 xml:space="preserve">domenica </w:t>
      </w:r>
      <w:r w:rsidR="00115247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 xml:space="preserve">ET 712 </w:t>
      </w:r>
      <w:r w:rsidR="00115247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>Addis Abeba-Roma FCO</w:t>
      </w:r>
      <w:r w:rsidR="00115247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 xml:space="preserve">00.10-04.30 </w:t>
      </w:r>
    </w:p>
    <w:p w:rsidR="00876B01" w:rsidRDefault="00876B01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876B01" w:rsidRDefault="00B555FA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E807F" wp14:editId="06044B2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248275" cy="469556"/>
                <wp:effectExtent l="0" t="0" r="9525" b="698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6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5FA" w:rsidRPr="00894391" w:rsidRDefault="00B555FA" w:rsidP="00B555F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4391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B555FA" w:rsidRPr="00894391" w:rsidRDefault="00B555FA" w:rsidP="00B555F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4391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E807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7pt;width:413.25pt;height:36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" stroked="f">
                <v:textbox>
                  <w:txbxContent>
                    <w:p w:rsidR="00B555FA" w:rsidRPr="00894391" w:rsidRDefault="00B555FA" w:rsidP="00B555F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94391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B555FA" w:rsidRPr="00894391" w:rsidRDefault="00B555FA" w:rsidP="00B555F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94391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B01" w:rsidRDefault="00876B01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876B01" w:rsidRDefault="00876B01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876B01" w:rsidRDefault="00876B01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876B01" w:rsidRDefault="00876B01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8C64D0" w:rsidRDefault="008C64D0" w:rsidP="00BB3B89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1036B0" w:rsidRPr="001036B0" w:rsidRDefault="001036B0" w:rsidP="00876B01">
      <w:pPr>
        <w:tabs>
          <w:tab w:val="left" w:pos="6960"/>
        </w:tabs>
        <w:spacing w:after="0" w:line="240" w:lineRule="auto"/>
        <w:rPr>
          <w:rFonts w:cstheme="minorHAnsi"/>
          <w:b/>
          <w:color w:val="FF0000"/>
          <w:sz w:val="18"/>
        </w:rPr>
      </w:pPr>
      <w:r w:rsidRPr="001036B0">
        <w:rPr>
          <w:rFonts w:cstheme="minorHAnsi"/>
          <w:b/>
          <w:color w:val="FF0000"/>
          <w:sz w:val="18"/>
        </w:rPr>
        <w:lastRenderedPageBreak/>
        <w:t>PROGRAMMA:</w:t>
      </w:r>
    </w:p>
    <w:p w:rsidR="00876B01" w:rsidRPr="00876B01" w:rsidRDefault="00876B01" w:rsidP="00876B01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rFonts w:cstheme="minorHAnsi"/>
          <w:b/>
          <w:color w:val="0F243E" w:themeColor="text2" w:themeShade="80"/>
          <w:sz w:val="18"/>
        </w:rPr>
        <w:t>1 GIORNO VENERDI                 Volo Italia / Addis Abeba</w:t>
      </w:r>
    </w:p>
    <w:p w:rsidR="00876B01" w:rsidRDefault="00876B01" w:rsidP="00876B01">
      <w:pPr>
        <w:tabs>
          <w:tab w:val="left" w:pos="6960"/>
        </w:tabs>
        <w:spacing w:after="0" w:line="240" w:lineRule="auto"/>
        <w:rPr>
          <w:rFonts w:cstheme="minorHAnsi"/>
          <w:color w:val="0F243E" w:themeColor="text2" w:themeShade="80"/>
          <w:sz w:val="18"/>
        </w:rPr>
      </w:pPr>
      <w:r w:rsidRPr="00876B01">
        <w:rPr>
          <w:rFonts w:cstheme="minorHAnsi"/>
          <w:color w:val="0F243E" w:themeColor="text2" w:themeShade="80"/>
          <w:sz w:val="18"/>
        </w:rPr>
        <w:t>Partenza volo dall'Italia il giorno prima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rFonts w:cstheme="minorHAnsi"/>
          <w:b/>
          <w:color w:val="0F243E" w:themeColor="text2" w:themeShade="80"/>
          <w:sz w:val="18"/>
        </w:rPr>
        <w:t>2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>
        <w:rPr>
          <w:rFonts w:cstheme="minorHAnsi"/>
          <w:b/>
          <w:color w:val="0F243E" w:themeColor="text2" w:themeShade="80"/>
          <w:sz w:val="18"/>
        </w:rPr>
        <w:t>IORNO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SABATO                   Arrivo ad ADDIS ABEBA</w:t>
      </w:r>
    </w:p>
    <w:p w:rsidR="00DE4599" w:rsidRDefault="00DE4599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DE4599">
        <w:rPr>
          <w:rFonts w:cstheme="minorHAnsi"/>
          <w:color w:val="0F243E" w:themeColor="text2" w:themeShade="80"/>
          <w:sz w:val="18"/>
        </w:rPr>
        <w:t xml:space="preserve">Arrivo, disbrigo delle formalità doganali e trasferimento in hotel per un po’ di relax. Dopo il pranzo, nel pomeriggio visita della capitale, situata a circa 2400 metri sul livello del mare e terza città più grande del continente africano: si inizia con una visita panoramica della città dal Monte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Entoto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e con la visita del Museo Nazionale, interessante per i reperti sabei ma soprattutto per Lucy, il piccolo scheletro ritrovato negli anni '70 nella valle </w:t>
      </w:r>
      <w:r w:rsidRPr="00DE4599">
        <w:rPr>
          <w:rFonts w:cstheme="minorHAnsi"/>
          <w:color w:val="0F243E" w:themeColor="text2" w:themeShade="80"/>
          <w:sz w:val="18"/>
        </w:rPr>
        <w:t>dell’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Awash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e appartenente ad un ominide vissuto tre milioni e mezzo circa di anni fa. Si prosegue con la visita della chiesa di S. Giorgio e del “grande mercato”, il più grande mercato all’aperto in Africa. Cena e </w:t>
      </w:r>
      <w:r w:rsidRPr="00DE4599">
        <w:rPr>
          <w:rFonts w:cstheme="minorHAnsi"/>
          <w:color w:val="0F243E" w:themeColor="text2" w:themeShade="80"/>
          <w:sz w:val="18"/>
        </w:rPr>
        <w:t>pernottamento (</w:t>
      </w:r>
      <w:r w:rsidRPr="00DE4599">
        <w:rPr>
          <w:rFonts w:cstheme="minorHAnsi"/>
          <w:color w:val="0F243E" w:themeColor="text2" w:themeShade="80"/>
          <w:sz w:val="18"/>
        </w:rPr>
        <w:t xml:space="preserve">hotel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Nexus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/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Debre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Damo o similari)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 w:rsidRPr="00DE4599">
        <w:rPr>
          <w:rFonts w:cstheme="minorHAnsi"/>
          <w:b/>
          <w:color w:val="0F243E" w:themeColor="text2" w:themeShade="80"/>
          <w:sz w:val="18"/>
        </w:rPr>
        <w:t xml:space="preserve"> </w:t>
      </w:r>
      <w:r>
        <w:rPr>
          <w:rFonts w:cstheme="minorHAnsi"/>
          <w:b/>
          <w:color w:val="0F243E" w:themeColor="text2" w:themeShade="80"/>
          <w:sz w:val="18"/>
        </w:rPr>
        <w:t>3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>
        <w:rPr>
          <w:rFonts w:cstheme="minorHAnsi"/>
          <w:b/>
          <w:color w:val="0F243E" w:themeColor="text2" w:themeShade="80"/>
          <w:sz w:val="18"/>
        </w:rPr>
        <w:t>IORNO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DOMENICA            ADDIS ABEBA / ARBAMINCH</w:t>
      </w:r>
    </w:p>
    <w:p w:rsidR="00DE4599" w:rsidRDefault="00DE4599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DE4599">
        <w:rPr>
          <w:rFonts w:cstheme="minorHAnsi"/>
          <w:color w:val="0F243E" w:themeColor="text2" w:themeShade="80"/>
          <w:sz w:val="18"/>
        </w:rPr>
        <w:t xml:space="preserve">Prima colazione e partenza verso sud. Sosta per visitare le steli di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Tiya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probabilmente un complesso cimiteriale preistorico ancora non del tutto decifrato. Si procede quindi per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Arbaminch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(che in amarico significa quaranta primavere), attraverso villaggi di varie etnie quali ad esempio i Guraghe e 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Wolayta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in un paesaggio di dolci colline verdeggianti. Pranzo in corso di viaggio. Sistemazione </w:t>
      </w:r>
      <w:r w:rsidRPr="00DE4599">
        <w:rPr>
          <w:rFonts w:cstheme="minorHAnsi"/>
          <w:color w:val="0F243E" w:themeColor="text2" w:themeShade="80"/>
          <w:sz w:val="18"/>
        </w:rPr>
        <w:t>presso Emerald</w:t>
      </w:r>
      <w:r w:rsidRPr="00DE4599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Resort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Arbaminch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>. Cena e pernottamento</w:t>
      </w:r>
    </w:p>
    <w:p w:rsidR="00DE4599" w:rsidRPr="00DE4599" w:rsidRDefault="009033B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06245" cy="802640"/>
            <wp:effectExtent l="0" t="0" r="8255" b="0"/>
            <wp:wrapSquare wrapText="bothSides"/>
            <wp:docPr id="1" name="Immagine 1" descr="Risultati immagini per arba minch et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rba minch etiop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80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599">
        <w:rPr>
          <w:rFonts w:cstheme="minorHAnsi"/>
          <w:b/>
          <w:color w:val="0F243E" w:themeColor="text2" w:themeShade="80"/>
          <w:sz w:val="18"/>
        </w:rPr>
        <w:t>4</w:t>
      </w:r>
      <w:r w:rsidR="00DE4599"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 w:rsidR="00DE4599">
        <w:rPr>
          <w:rFonts w:cstheme="minorHAnsi"/>
          <w:b/>
          <w:color w:val="0F243E" w:themeColor="text2" w:themeShade="80"/>
          <w:sz w:val="18"/>
        </w:rPr>
        <w:t>IORNO</w:t>
      </w:r>
      <w:r w:rsidR="00DE4599" w:rsidRPr="00DE4599">
        <w:rPr>
          <w:rFonts w:cstheme="minorHAnsi"/>
          <w:b/>
          <w:color w:val="0F243E" w:themeColor="text2" w:themeShade="80"/>
          <w:sz w:val="18"/>
        </w:rPr>
        <w:t xml:space="preserve"> </w:t>
      </w:r>
      <w:proofErr w:type="spellStart"/>
      <w:r w:rsidR="00DE4599" w:rsidRPr="00DE4599">
        <w:rPr>
          <w:rFonts w:cstheme="minorHAnsi"/>
          <w:b/>
          <w:color w:val="0F243E" w:themeColor="text2" w:themeShade="80"/>
          <w:sz w:val="18"/>
        </w:rPr>
        <w:t>LUNEDì</w:t>
      </w:r>
      <w:proofErr w:type="spellEnd"/>
      <w:r w:rsidR="00DE4599" w:rsidRPr="00DE4599">
        <w:rPr>
          <w:rFonts w:cstheme="minorHAnsi"/>
          <w:b/>
          <w:color w:val="0F243E" w:themeColor="text2" w:themeShade="80"/>
          <w:sz w:val="18"/>
        </w:rPr>
        <w:t xml:space="preserve">                   ARBAMINCH</w:t>
      </w:r>
    </w:p>
    <w:p w:rsidR="00DE4599" w:rsidRDefault="00DE4599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DE4599">
        <w:rPr>
          <w:rFonts w:cstheme="minorHAnsi"/>
          <w:color w:val="0F243E" w:themeColor="text2" w:themeShade="80"/>
          <w:sz w:val="18"/>
        </w:rPr>
        <w:t xml:space="preserve">Dopo la prima colazione si procede attraverso una pista di montagna che conduce al villaggio di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Chencha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il paese dei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Dorze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popolo di laboriosi agricoltori di lingua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omotica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. Singolare ed elaborata la struttura delle loro capanne alte anche 15 metri, costruite in bambù e foglie di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ensete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- pianta tipica dell’altopiano apparentemente simile al banano. 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Dorze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sono famosi per la tessitura del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cotone.Nel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pomeriggio gita in barca sul lago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Chamo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dove si possono vedere ippopotami, uccelli e i più grandi coccodrilli africani (fino a 6 metri di lunghezza), altre ad un bel tramonto. Rientro in hotel. </w:t>
      </w:r>
      <w:r w:rsidRPr="00DE4599">
        <w:rPr>
          <w:rFonts w:cstheme="minorHAnsi"/>
          <w:color w:val="0F243E" w:themeColor="text2" w:themeShade="80"/>
          <w:sz w:val="18"/>
        </w:rPr>
        <w:t>Cena</w:t>
      </w:r>
      <w:r w:rsidRPr="00DE4599">
        <w:rPr>
          <w:rFonts w:cstheme="minorHAnsi"/>
          <w:color w:val="0F243E" w:themeColor="text2" w:themeShade="80"/>
          <w:sz w:val="18"/>
        </w:rPr>
        <w:t xml:space="preserve"> e pernottamento.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rFonts w:cstheme="minorHAnsi"/>
          <w:b/>
          <w:color w:val="0F243E" w:themeColor="text2" w:themeShade="80"/>
          <w:sz w:val="18"/>
        </w:rPr>
        <w:t>5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>
        <w:rPr>
          <w:rFonts w:cstheme="minorHAnsi"/>
          <w:b/>
          <w:color w:val="0F243E" w:themeColor="text2" w:themeShade="80"/>
          <w:sz w:val="18"/>
        </w:rPr>
        <w:t>IORNO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</w:t>
      </w:r>
      <w:proofErr w:type="spellStart"/>
      <w:r w:rsidRPr="00DE4599">
        <w:rPr>
          <w:rFonts w:cstheme="minorHAnsi"/>
          <w:b/>
          <w:color w:val="0F243E" w:themeColor="text2" w:themeShade="80"/>
          <w:sz w:val="18"/>
        </w:rPr>
        <w:t>MARTEDì</w:t>
      </w:r>
      <w:proofErr w:type="spellEnd"/>
      <w:r w:rsidRPr="00DE4599">
        <w:rPr>
          <w:rFonts w:cstheme="minorHAnsi"/>
          <w:b/>
          <w:color w:val="0F243E" w:themeColor="text2" w:themeShade="80"/>
          <w:sz w:val="18"/>
        </w:rPr>
        <w:t xml:space="preserve">                  ARBAMINCH / TURMI</w:t>
      </w:r>
    </w:p>
    <w:p w:rsidR="00DE4599" w:rsidRDefault="00351B0C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567690</wp:posOffset>
            </wp:positionV>
            <wp:extent cx="1704975" cy="958850"/>
            <wp:effectExtent l="0" t="0" r="9525" b="0"/>
            <wp:wrapSquare wrapText="bothSides"/>
            <wp:docPr id="7" name="Immagine 7" descr="Risultati immagini per konso et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konso etiop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599" w:rsidRPr="00DE4599">
        <w:rPr>
          <w:rFonts w:cstheme="minorHAnsi"/>
          <w:color w:val="0F243E" w:themeColor="text2" w:themeShade="80"/>
          <w:sz w:val="18"/>
        </w:rPr>
        <w:t xml:space="preserve">Dopo la prima colazione si lascia Arba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Minch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 verso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Turmi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attraverso le colline abitate dai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Konso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un popolo di origine cuscitica che grazie a un tenace lavoro collettivo è riuscito a terrazzare 650 chilometri quadrati di colline per coltivarli a miglio, sorgo, mais e frumento (alle altitudini maggiori), caffè, cotone. I bei villaggi dei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Konso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 sono piuttosto grandi, strutturati in diverse aree e si trovano arroccati sulla sommità delle colline. Nella sterminata valle del fiume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Weyto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si incontrano gli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Tsamay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allevatori e in parte agricoltori, riconoscibili per l’acconciatura delle ragazze che dividono i capelli in una miriade di sottilissime treccine a formare una sorta di caschetto. Sosta per il mercato settimanale nel villaggio di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Alduba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dove le varie etnie,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Hamer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Tsemay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 e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Karo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si scambiano le mercanzie. Si prosegue per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Turmi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con sistemazione presso </w:t>
      </w:r>
      <w:r w:rsidR="00DE4599" w:rsidRPr="00DE4599">
        <w:rPr>
          <w:rFonts w:cstheme="minorHAnsi"/>
          <w:color w:val="0F243E" w:themeColor="text2" w:themeShade="80"/>
          <w:sz w:val="18"/>
        </w:rPr>
        <w:t>Emerald lodge</w:t>
      </w:r>
      <w:r w:rsidR="00DE4599" w:rsidRPr="00DE4599">
        <w:rPr>
          <w:rFonts w:cstheme="minorHAnsi"/>
          <w:color w:val="0F243E" w:themeColor="text2" w:themeShade="80"/>
          <w:sz w:val="18"/>
        </w:rPr>
        <w:t xml:space="preserve">.  Lunch box; Cena </w:t>
      </w:r>
      <w:r w:rsidR="00DE4599" w:rsidRPr="00DE4599">
        <w:rPr>
          <w:rFonts w:cstheme="minorHAnsi"/>
          <w:color w:val="0F243E" w:themeColor="text2" w:themeShade="80"/>
          <w:sz w:val="18"/>
        </w:rPr>
        <w:t>e pernottamento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rFonts w:cstheme="minorHAnsi"/>
          <w:b/>
          <w:color w:val="0F243E" w:themeColor="text2" w:themeShade="80"/>
          <w:sz w:val="18"/>
        </w:rPr>
        <w:t>6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>
        <w:rPr>
          <w:rFonts w:cstheme="minorHAnsi"/>
          <w:b/>
          <w:color w:val="0F243E" w:themeColor="text2" w:themeShade="80"/>
          <w:sz w:val="18"/>
        </w:rPr>
        <w:t>IORNO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</w:t>
      </w:r>
      <w:proofErr w:type="spellStart"/>
      <w:r w:rsidRPr="00DE4599">
        <w:rPr>
          <w:rFonts w:cstheme="minorHAnsi"/>
          <w:b/>
          <w:color w:val="0F243E" w:themeColor="text2" w:themeShade="80"/>
          <w:sz w:val="18"/>
        </w:rPr>
        <w:t>MERCOLEDì</w:t>
      </w:r>
      <w:proofErr w:type="spellEnd"/>
      <w:r w:rsidRPr="00DE4599">
        <w:rPr>
          <w:rFonts w:cstheme="minorHAnsi"/>
          <w:b/>
          <w:color w:val="0F243E" w:themeColor="text2" w:themeShade="80"/>
          <w:sz w:val="18"/>
        </w:rPr>
        <w:t xml:space="preserve">            TURMI</w:t>
      </w:r>
    </w:p>
    <w:p w:rsidR="00DE4599" w:rsidRDefault="00DE4599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DE4599">
        <w:rPr>
          <w:rFonts w:cstheme="minorHAnsi"/>
          <w:color w:val="0F243E" w:themeColor="text2" w:themeShade="80"/>
          <w:sz w:val="18"/>
        </w:rPr>
        <w:t xml:space="preserve">Dopo la prima colazione, si parte alla volta del mitico fiume Omo per giungere nella terra dei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Karo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etnia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omotica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ormai in via d’estinzione: il loro numero si aggira ormai intorno ai 700 individui. Si visita lo splendido villaggio di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Kortcho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posto su di una scarpata con superba vista sul fiume. I guerrieri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Karo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si distinguono per la loro abilità nel body painting; le ragazze portano infisso nel mento un lungo chiodo e si acconciano i capelli formando una serie di palline impastate con l’argilla. Rientro a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Turmi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. Nel </w:t>
      </w:r>
      <w:r w:rsidRPr="00DE4599">
        <w:rPr>
          <w:rFonts w:cstheme="minorHAnsi"/>
          <w:color w:val="0F243E" w:themeColor="text2" w:themeShade="80"/>
          <w:sz w:val="18"/>
        </w:rPr>
        <w:t>pomeriggio tempo</w:t>
      </w:r>
      <w:r w:rsidRPr="00DE4599">
        <w:rPr>
          <w:rFonts w:cstheme="minorHAnsi"/>
          <w:color w:val="0F243E" w:themeColor="text2" w:themeShade="80"/>
          <w:sz w:val="18"/>
        </w:rPr>
        <w:t xml:space="preserve"> a disposizione per approfondire la popolazione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Hamer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che vive nella cittadina, con le sue tradizioni: qualora fosse prevista, si assisterà alla cerimonia del “salto del toro” per l’iniziazione dei giovani alla vita da adulto. Cena e pernottamento.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rFonts w:cstheme="minorHAnsi"/>
          <w:b/>
          <w:color w:val="0F243E" w:themeColor="text2" w:themeShade="80"/>
          <w:sz w:val="18"/>
        </w:rPr>
        <w:t>7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>
        <w:rPr>
          <w:rFonts w:cstheme="minorHAnsi"/>
          <w:b/>
          <w:color w:val="0F243E" w:themeColor="text2" w:themeShade="80"/>
          <w:sz w:val="18"/>
        </w:rPr>
        <w:t>IORNO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</w:t>
      </w:r>
      <w:proofErr w:type="spellStart"/>
      <w:r w:rsidRPr="00DE4599">
        <w:rPr>
          <w:rFonts w:cstheme="minorHAnsi"/>
          <w:b/>
          <w:color w:val="0F243E" w:themeColor="text2" w:themeShade="80"/>
          <w:sz w:val="18"/>
        </w:rPr>
        <w:t>GIOVEDì</w:t>
      </w:r>
      <w:proofErr w:type="spellEnd"/>
      <w:r w:rsidRPr="00DE4599">
        <w:rPr>
          <w:rFonts w:cstheme="minorHAnsi"/>
          <w:b/>
          <w:color w:val="0F243E" w:themeColor="text2" w:themeShade="80"/>
          <w:sz w:val="18"/>
        </w:rPr>
        <w:t xml:space="preserve">                   TURMI / JINKA</w:t>
      </w:r>
    </w:p>
    <w:p w:rsidR="00DE4599" w:rsidRDefault="00DE4599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DE4599">
        <w:rPr>
          <w:rFonts w:cstheme="minorHAnsi"/>
          <w:color w:val="0F243E" w:themeColor="text2" w:themeShade="80"/>
          <w:sz w:val="18"/>
        </w:rPr>
        <w:t xml:space="preserve">Prima colazione e partenza per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Omorate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sulle sponde </w:t>
      </w:r>
      <w:r w:rsidRPr="00DE4599">
        <w:rPr>
          <w:rFonts w:cstheme="minorHAnsi"/>
          <w:color w:val="0F243E" w:themeColor="text2" w:themeShade="80"/>
          <w:sz w:val="18"/>
        </w:rPr>
        <w:t>del fiume</w:t>
      </w:r>
      <w:r w:rsidRPr="00DE4599">
        <w:rPr>
          <w:rFonts w:cstheme="minorHAnsi"/>
          <w:color w:val="0F243E" w:themeColor="text2" w:themeShade="80"/>
          <w:sz w:val="18"/>
        </w:rPr>
        <w:t xml:space="preserve"> Omo, per visitare la gente e i villaggi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Dassanech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, che vivono di agricoltura e pastorizia in capanne circolari. Si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prodegue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verso il villaggio di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Key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Afer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per visitare il colorato mercato settimanale della gente di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Tsemay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e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Erbore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. Al termine si percorre l’ultimo tratto fino a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Jinka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>. Pranzo al sacco.  Cena e pernottamento in hotel</w:t>
      </w:r>
      <w:r>
        <w:rPr>
          <w:rFonts w:cstheme="minorHAnsi"/>
          <w:color w:val="0F243E" w:themeColor="text2" w:themeShade="80"/>
          <w:sz w:val="18"/>
        </w:rPr>
        <w:t>.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rFonts w:cstheme="minorHAnsi"/>
          <w:b/>
          <w:color w:val="0F243E" w:themeColor="text2" w:themeShade="80"/>
          <w:sz w:val="18"/>
        </w:rPr>
        <w:t>8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>
        <w:rPr>
          <w:rFonts w:cstheme="minorHAnsi"/>
          <w:b/>
          <w:color w:val="0F243E" w:themeColor="text2" w:themeShade="80"/>
          <w:sz w:val="18"/>
        </w:rPr>
        <w:t>IORNO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</w:t>
      </w:r>
      <w:proofErr w:type="spellStart"/>
      <w:r w:rsidRPr="00DE4599">
        <w:rPr>
          <w:rFonts w:cstheme="minorHAnsi"/>
          <w:b/>
          <w:color w:val="0F243E" w:themeColor="text2" w:themeShade="80"/>
          <w:sz w:val="18"/>
        </w:rPr>
        <w:t>VENERDì</w:t>
      </w:r>
      <w:proofErr w:type="spellEnd"/>
      <w:r w:rsidRPr="00DE4599">
        <w:rPr>
          <w:rFonts w:cstheme="minorHAnsi"/>
          <w:b/>
          <w:color w:val="0F243E" w:themeColor="text2" w:themeShade="80"/>
          <w:sz w:val="18"/>
        </w:rPr>
        <w:t xml:space="preserve">                  JINKA / ARBAMINCH</w:t>
      </w:r>
      <w:r w:rsidR="00351B0C" w:rsidRPr="00351B0C">
        <w:rPr>
          <w:noProof/>
          <w:lang w:eastAsia="it-IT"/>
        </w:rPr>
        <w:t xml:space="preserve"> </w:t>
      </w:r>
    </w:p>
    <w:p w:rsidR="00DE4599" w:rsidRDefault="00351B0C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75105" cy="952500"/>
            <wp:effectExtent l="0" t="0" r="0" b="0"/>
            <wp:wrapSquare wrapText="bothSides"/>
            <wp:docPr id="4" name="Immagine 4" descr="Risultati immagini per JINKA ET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JINKA ETIOP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599" w:rsidRPr="00DE4599">
        <w:rPr>
          <w:rFonts w:cstheme="minorHAnsi"/>
          <w:color w:val="0F243E" w:themeColor="text2" w:themeShade="80"/>
          <w:sz w:val="18"/>
        </w:rPr>
        <w:t xml:space="preserve">Prima colazione in hotel. Lasciata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Jinka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 si imbocca la difficile pista che scende ripida al Mago National Park. La fitta savana del Parco è popolata da scimmie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colobus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varie specie di antilopi ed elefanti. Giungiamo nella regione abitata dai celeberrimi guerrieri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Mursi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, etnia nilotico-sahariana. Alti, atletici, sicuramente poco amichevoli i guerrieri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Mursi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 adornano il proprio corpo con vistose scarnificazioni che stanno a indicare il numero di nemici o di animali feroci uccisi. Tratto distintivo di quest’etnia così singolare è l’abitudine, per le donne, di inserire in un’incisione praticata alla base del labbro inferiore un disco d’argilla via via più </w:t>
      </w:r>
      <w:r w:rsidR="00DE4599" w:rsidRPr="00DE4599">
        <w:rPr>
          <w:rFonts w:cstheme="minorHAnsi"/>
          <w:color w:val="0F243E" w:themeColor="text2" w:themeShade="80"/>
          <w:sz w:val="18"/>
        </w:rPr>
        <w:t>grande, fino</w:t>
      </w:r>
      <w:r w:rsidR="00DE4599" w:rsidRPr="00DE4599">
        <w:rPr>
          <w:rFonts w:cstheme="minorHAnsi"/>
          <w:color w:val="0F243E" w:themeColor="text2" w:themeShade="80"/>
          <w:sz w:val="18"/>
        </w:rPr>
        <w:t xml:space="preserve"> a raggiun</w:t>
      </w:r>
      <w:r w:rsidR="00DE4599" w:rsidRPr="00DE4599">
        <w:rPr>
          <w:rFonts w:cstheme="minorHAnsi"/>
          <w:color w:val="0F243E" w:themeColor="text2" w:themeShade="80"/>
          <w:sz w:val="18"/>
        </w:rPr>
        <w:t xml:space="preserve">gere il </w:t>
      </w:r>
      <w:r w:rsidR="00DE4599" w:rsidRPr="00DE4599">
        <w:rPr>
          <w:rFonts w:cstheme="minorHAnsi"/>
          <w:color w:val="0F243E" w:themeColor="text2" w:themeShade="80"/>
          <w:sz w:val="18"/>
        </w:rPr>
        <w:t xml:space="preserve">ragguardevole diametro di 20, anche 30 centimetri! Considerato elemento di assoluta bellezza, il disco labiale rende più preziosa e desiderabile una donna. Pranzo al sacco e proseguimento verso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Arbaminch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. Sistemazione presso Emerald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Resort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="00DE4599" w:rsidRPr="00DE4599">
        <w:rPr>
          <w:rFonts w:cstheme="minorHAnsi"/>
          <w:color w:val="0F243E" w:themeColor="text2" w:themeShade="80"/>
          <w:sz w:val="18"/>
        </w:rPr>
        <w:t>Arbaminch</w:t>
      </w:r>
      <w:proofErr w:type="spellEnd"/>
      <w:r w:rsidR="00DE4599" w:rsidRPr="00DE4599">
        <w:rPr>
          <w:rFonts w:cstheme="minorHAnsi"/>
          <w:color w:val="0F243E" w:themeColor="text2" w:themeShade="80"/>
          <w:sz w:val="18"/>
        </w:rPr>
        <w:t>. Cena e pernottamento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rPr>
          <w:rFonts w:cstheme="minorHAnsi"/>
          <w:b/>
          <w:color w:val="0F243E" w:themeColor="text2" w:themeShade="80"/>
          <w:sz w:val="18"/>
        </w:rPr>
      </w:pPr>
      <w:r>
        <w:rPr>
          <w:rFonts w:cstheme="minorHAnsi"/>
          <w:b/>
          <w:color w:val="0F243E" w:themeColor="text2" w:themeShade="80"/>
          <w:sz w:val="18"/>
        </w:rPr>
        <w:t>9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G</w:t>
      </w:r>
      <w:r>
        <w:rPr>
          <w:rFonts w:cstheme="minorHAnsi"/>
          <w:b/>
          <w:color w:val="0F243E" w:themeColor="text2" w:themeShade="80"/>
          <w:sz w:val="18"/>
        </w:rPr>
        <w:t>IORNO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SABATO                  ARBAMINCH / ADDIS ABEBA</w:t>
      </w:r>
    </w:p>
    <w:p w:rsidR="00DE4599" w:rsidRPr="00DE4599" w:rsidRDefault="00DE4599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DE4599">
        <w:rPr>
          <w:rFonts w:cstheme="minorHAnsi"/>
          <w:color w:val="0F243E" w:themeColor="text2" w:themeShade="80"/>
          <w:sz w:val="18"/>
        </w:rPr>
        <w:t xml:space="preserve">Dopo la prima colazione partenza per il rientro ad Addis Abeba. All’arrivo, nel pomeriggio, </w:t>
      </w:r>
      <w:proofErr w:type="spellStart"/>
      <w:r w:rsidRPr="00DE4599">
        <w:rPr>
          <w:rFonts w:cstheme="minorHAnsi"/>
          <w:color w:val="0F243E" w:themeColor="text2" w:themeShade="80"/>
          <w:sz w:val="18"/>
        </w:rPr>
        <w:t>day</w:t>
      </w:r>
      <w:proofErr w:type="spellEnd"/>
      <w:r w:rsidRPr="00DE4599">
        <w:rPr>
          <w:rFonts w:cstheme="minorHAnsi"/>
          <w:color w:val="0F243E" w:themeColor="text2" w:themeShade="80"/>
          <w:sz w:val="18"/>
        </w:rPr>
        <w:t xml:space="preserve"> use in hotel fino alle h. 18.00, prima della cena in ristorante tradizionale con spettacolo di musica tipica, e, al termine trasferimento all’aeroporto per il volo di rientro in</w:t>
      </w:r>
      <w:r w:rsidRPr="00DE4599">
        <w:rPr>
          <w:rFonts w:cstheme="minorHAnsi"/>
          <w:b/>
          <w:color w:val="0F243E" w:themeColor="text2" w:themeShade="80"/>
          <w:sz w:val="18"/>
        </w:rPr>
        <w:t xml:space="preserve"> </w:t>
      </w:r>
      <w:r w:rsidRPr="00DE4599">
        <w:rPr>
          <w:rFonts w:cstheme="minorHAnsi"/>
          <w:color w:val="0F243E" w:themeColor="text2" w:themeShade="80"/>
          <w:sz w:val="18"/>
        </w:rPr>
        <w:t>Italia</w:t>
      </w:r>
    </w:p>
    <w:p w:rsidR="00A92C77" w:rsidRPr="00A92C77" w:rsidRDefault="00A92C77" w:rsidP="00DE4599">
      <w:pPr>
        <w:tabs>
          <w:tab w:val="left" w:pos="6960"/>
        </w:tabs>
        <w:spacing w:after="0" w:line="240" w:lineRule="auto"/>
        <w:jc w:val="both"/>
        <w:rPr>
          <w:rFonts w:cstheme="minorHAnsi"/>
          <w:b/>
          <w:color w:val="0F243E" w:themeColor="text2" w:themeShade="80"/>
          <w:sz w:val="18"/>
        </w:rPr>
      </w:pPr>
      <w:r w:rsidRPr="00A92C77">
        <w:rPr>
          <w:rFonts w:cstheme="minorHAnsi"/>
          <w:b/>
          <w:color w:val="0F243E" w:themeColor="text2" w:themeShade="80"/>
          <w:sz w:val="18"/>
        </w:rPr>
        <w:t>10 GIORNO DOMENICA           VOLO PER L’ITALIA</w:t>
      </w:r>
    </w:p>
    <w:p w:rsidR="00A92C77" w:rsidRPr="00A92C77" w:rsidRDefault="00A92C77" w:rsidP="00876B01">
      <w:pPr>
        <w:tabs>
          <w:tab w:val="left" w:pos="6960"/>
        </w:tabs>
        <w:spacing w:after="0" w:line="240" w:lineRule="auto"/>
        <w:rPr>
          <w:rFonts w:cs="Arial"/>
          <w:sz w:val="12"/>
          <w:szCs w:val="16"/>
        </w:rPr>
      </w:pPr>
      <w:r>
        <w:rPr>
          <w:rFonts w:cstheme="minorHAnsi"/>
          <w:color w:val="0F243E" w:themeColor="text2" w:themeShade="80"/>
          <w:sz w:val="18"/>
        </w:rPr>
        <w:t>Arrivo in Italia come da operativo voli.</w:t>
      </w:r>
    </w:p>
    <w:sectPr w:rsidR="00A92C77" w:rsidRPr="00A92C77" w:rsidSect="00BB3B89">
      <w:headerReference w:type="default" r:id="rId21"/>
      <w:footerReference w:type="default" r:id="rId22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BE" w:rsidRDefault="000808BE" w:rsidP="00F47C9E">
      <w:pPr>
        <w:spacing w:after="0" w:line="240" w:lineRule="auto"/>
      </w:pPr>
      <w:r>
        <w:separator/>
      </w:r>
    </w:p>
  </w:endnote>
  <w:endnote w:type="continuationSeparator" w:id="0">
    <w:p w:rsidR="000808BE" w:rsidRDefault="000808BE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BE" w:rsidRDefault="000808BE" w:rsidP="00F47C9E">
      <w:pPr>
        <w:spacing w:after="0" w:line="240" w:lineRule="auto"/>
      </w:pPr>
      <w:r>
        <w:separator/>
      </w:r>
    </w:p>
  </w:footnote>
  <w:footnote w:type="continuationSeparator" w:id="0">
    <w:p w:rsidR="000808BE" w:rsidRDefault="000808BE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1A93"/>
    <w:rsid w:val="0007488A"/>
    <w:rsid w:val="000808BE"/>
    <w:rsid w:val="000903F0"/>
    <w:rsid w:val="00097E9A"/>
    <w:rsid w:val="000A35AE"/>
    <w:rsid w:val="000D2DFC"/>
    <w:rsid w:val="000F6DFF"/>
    <w:rsid w:val="001036B0"/>
    <w:rsid w:val="00115247"/>
    <w:rsid w:val="001232D4"/>
    <w:rsid w:val="00147B63"/>
    <w:rsid w:val="0016409D"/>
    <w:rsid w:val="0017204B"/>
    <w:rsid w:val="0017295B"/>
    <w:rsid w:val="001829C9"/>
    <w:rsid w:val="00183542"/>
    <w:rsid w:val="001A1A2F"/>
    <w:rsid w:val="001C651F"/>
    <w:rsid w:val="001D3E4B"/>
    <w:rsid w:val="001F1AD5"/>
    <w:rsid w:val="0022300F"/>
    <w:rsid w:val="002363BA"/>
    <w:rsid w:val="00250F79"/>
    <w:rsid w:val="00262EEC"/>
    <w:rsid w:val="00287226"/>
    <w:rsid w:val="002876CD"/>
    <w:rsid w:val="00290EE3"/>
    <w:rsid w:val="002A60F6"/>
    <w:rsid w:val="002D59CC"/>
    <w:rsid w:val="002E7BB4"/>
    <w:rsid w:val="002F6AF0"/>
    <w:rsid w:val="00313263"/>
    <w:rsid w:val="0032085B"/>
    <w:rsid w:val="00325609"/>
    <w:rsid w:val="00351B0C"/>
    <w:rsid w:val="00357A28"/>
    <w:rsid w:val="003630D1"/>
    <w:rsid w:val="00372A54"/>
    <w:rsid w:val="00383FC3"/>
    <w:rsid w:val="003C4DDE"/>
    <w:rsid w:val="003D25F0"/>
    <w:rsid w:val="003E49BB"/>
    <w:rsid w:val="003F3B2E"/>
    <w:rsid w:val="00405CA7"/>
    <w:rsid w:val="00443098"/>
    <w:rsid w:val="00482FE8"/>
    <w:rsid w:val="004C1CCA"/>
    <w:rsid w:val="0050156D"/>
    <w:rsid w:val="005017F8"/>
    <w:rsid w:val="00503B2D"/>
    <w:rsid w:val="00522EEF"/>
    <w:rsid w:val="0054362B"/>
    <w:rsid w:val="00545205"/>
    <w:rsid w:val="00546095"/>
    <w:rsid w:val="00554835"/>
    <w:rsid w:val="00576BE8"/>
    <w:rsid w:val="00597193"/>
    <w:rsid w:val="005C3912"/>
    <w:rsid w:val="005C49D7"/>
    <w:rsid w:val="005D0354"/>
    <w:rsid w:val="005E0B19"/>
    <w:rsid w:val="005E70AD"/>
    <w:rsid w:val="006013B6"/>
    <w:rsid w:val="0061070A"/>
    <w:rsid w:val="0062003F"/>
    <w:rsid w:val="0062205C"/>
    <w:rsid w:val="006537A4"/>
    <w:rsid w:val="00654133"/>
    <w:rsid w:val="00656AB5"/>
    <w:rsid w:val="006864FE"/>
    <w:rsid w:val="00686BBC"/>
    <w:rsid w:val="006C1E32"/>
    <w:rsid w:val="006C598D"/>
    <w:rsid w:val="006D20B4"/>
    <w:rsid w:val="006F4EB5"/>
    <w:rsid w:val="007134C6"/>
    <w:rsid w:val="007430F5"/>
    <w:rsid w:val="0074444C"/>
    <w:rsid w:val="00761490"/>
    <w:rsid w:val="007620EE"/>
    <w:rsid w:val="007637C2"/>
    <w:rsid w:val="007656F7"/>
    <w:rsid w:val="00776E95"/>
    <w:rsid w:val="00781758"/>
    <w:rsid w:val="007B5ABE"/>
    <w:rsid w:val="007E279A"/>
    <w:rsid w:val="007E7BAB"/>
    <w:rsid w:val="00802EFD"/>
    <w:rsid w:val="00807D90"/>
    <w:rsid w:val="00834094"/>
    <w:rsid w:val="00835F69"/>
    <w:rsid w:val="00854550"/>
    <w:rsid w:val="00875305"/>
    <w:rsid w:val="00876B01"/>
    <w:rsid w:val="00894391"/>
    <w:rsid w:val="008B3865"/>
    <w:rsid w:val="008C34FE"/>
    <w:rsid w:val="008C64D0"/>
    <w:rsid w:val="008F1D21"/>
    <w:rsid w:val="008F410C"/>
    <w:rsid w:val="009033B9"/>
    <w:rsid w:val="009668ED"/>
    <w:rsid w:val="0099334D"/>
    <w:rsid w:val="009977C0"/>
    <w:rsid w:val="009B6153"/>
    <w:rsid w:val="00A039F1"/>
    <w:rsid w:val="00A47C61"/>
    <w:rsid w:val="00A52CC2"/>
    <w:rsid w:val="00A60853"/>
    <w:rsid w:val="00A87711"/>
    <w:rsid w:val="00A8778B"/>
    <w:rsid w:val="00A92C77"/>
    <w:rsid w:val="00AA60EA"/>
    <w:rsid w:val="00AC6BC7"/>
    <w:rsid w:val="00AE4D73"/>
    <w:rsid w:val="00AE7D87"/>
    <w:rsid w:val="00B250D3"/>
    <w:rsid w:val="00B33CBD"/>
    <w:rsid w:val="00B555FA"/>
    <w:rsid w:val="00B76AC3"/>
    <w:rsid w:val="00BA02B0"/>
    <w:rsid w:val="00BB3B89"/>
    <w:rsid w:val="00BB4695"/>
    <w:rsid w:val="00BB5B58"/>
    <w:rsid w:val="00BF05A1"/>
    <w:rsid w:val="00BF61C9"/>
    <w:rsid w:val="00BF6C71"/>
    <w:rsid w:val="00BF7057"/>
    <w:rsid w:val="00C25583"/>
    <w:rsid w:val="00C4008C"/>
    <w:rsid w:val="00C41B01"/>
    <w:rsid w:val="00C451E7"/>
    <w:rsid w:val="00CB59E9"/>
    <w:rsid w:val="00CE5732"/>
    <w:rsid w:val="00D26F13"/>
    <w:rsid w:val="00D5663A"/>
    <w:rsid w:val="00D66874"/>
    <w:rsid w:val="00D70808"/>
    <w:rsid w:val="00D96F02"/>
    <w:rsid w:val="00DA1CC7"/>
    <w:rsid w:val="00DA49CA"/>
    <w:rsid w:val="00DA76B2"/>
    <w:rsid w:val="00DB70E8"/>
    <w:rsid w:val="00DC1D02"/>
    <w:rsid w:val="00DD1843"/>
    <w:rsid w:val="00DE4599"/>
    <w:rsid w:val="00DE7025"/>
    <w:rsid w:val="00E058B9"/>
    <w:rsid w:val="00E53966"/>
    <w:rsid w:val="00E83FC2"/>
    <w:rsid w:val="00EA179F"/>
    <w:rsid w:val="00ED2A2D"/>
    <w:rsid w:val="00F1558D"/>
    <w:rsid w:val="00F26AFE"/>
    <w:rsid w:val="00F47C9E"/>
    <w:rsid w:val="00F71DE7"/>
    <w:rsid w:val="00F74409"/>
    <w:rsid w:val="00F74D0B"/>
    <w:rsid w:val="00F81459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069522-BD5A-4217-BB07-A0BC9CA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Tasse aeroportuali € 223,00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Tutti i trasferimenti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F3EE349A-E087-4CDE-A8B9-3D96E698A5FB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Supplemento singola € 105,00</a:t>
          </a:r>
        </a:p>
      </dgm:t>
    </dgm:pt>
    <dgm:pt modelId="{455F7DEB-FA49-4592-A69F-EBFF6E59B9DE}" type="parTrans" cxnId="{7D2D9264-E8A3-48EE-A4A5-EBB6493B26F5}">
      <dgm:prSet/>
      <dgm:spPr/>
      <dgm:t>
        <a:bodyPr/>
        <a:lstStyle/>
        <a:p>
          <a:endParaRPr lang="it-IT"/>
        </a:p>
      </dgm:t>
    </dgm:pt>
    <dgm:pt modelId="{770D56E8-0DEB-4363-BE94-1157084189CA}" type="sibTrans" cxnId="{7D2D9264-E8A3-48EE-A4A5-EBB6493B26F5}">
      <dgm:prSet/>
      <dgm:spPr/>
      <dgm:t>
        <a:bodyPr/>
        <a:lstStyle/>
        <a:p>
          <a:endParaRPr lang="it-IT"/>
        </a:p>
      </dgm:t>
    </dgm:pt>
    <dgm:pt modelId="{64BCE42C-AC4A-4656-AE51-EA42B35C0E57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45F20460-FFFE-4606-9B49-7FAB435D0837}" type="parTrans" cxnId="{265ADFB3-D991-4B1A-990A-B3A692A9D575}">
      <dgm:prSet/>
      <dgm:spPr/>
      <dgm:t>
        <a:bodyPr/>
        <a:lstStyle/>
        <a:p>
          <a:endParaRPr lang="it-IT"/>
        </a:p>
      </dgm:t>
    </dgm:pt>
    <dgm:pt modelId="{E50871C0-BE36-4EF9-ACA9-BD0C5019A850}" type="sibTrans" cxnId="{265ADFB3-D991-4B1A-990A-B3A692A9D575}">
      <dgm:prSet/>
      <dgm:spPr/>
      <dgm:t>
        <a:bodyPr/>
        <a:lstStyle/>
        <a:p>
          <a:endParaRPr lang="it-IT"/>
        </a:p>
      </dgm:t>
    </dgm:pt>
    <dgm:pt modelId="{DBD799E1-4B7B-4FD3-A525-68CDA8A8DF42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Assicurazione medico bagaglio</a:t>
          </a:r>
        </a:p>
      </dgm:t>
    </dgm:pt>
    <dgm:pt modelId="{8720DCBE-CB78-4BAB-9124-3C996629B72F}" type="parTrans" cxnId="{3D183D51-3754-454A-8D45-2DA5A8E40657}">
      <dgm:prSet/>
      <dgm:spPr/>
      <dgm:t>
        <a:bodyPr/>
        <a:lstStyle/>
        <a:p>
          <a:endParaRPr lang="it-IT"/>
        </a:p>
      </dgm:t>
    </dgm:pt>
    <dgm:pt modelId="{C418D44F-8DDB-42DF-9E34-F0066AE067F4}" type="sibTrans" cxnId="{3D183D51-3754-454A-8D45-2DA5A8E40657}">
      <dgm:prSet/>
      <dgm:spPr/>
      <dgm:t>
        <a:bodyPr/>
        <a:lstStyle/>
        <a:p>
          <a:endParaRPr lang="it-IT"/>
        </a:p>
      </dgm:t>
    </dgm:pt>
    <dgm:pt modelId="{4EF1016C-31C1-4309-948F-C923F9776B58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Veicoli: minibus ad Addis Abeba e nelle regioni settentrionali secondo partecipanti; Toyota Land Cruiser 4WD a Sud con un carico massimo di 4 occupanti oltre all’autista</a:t>
          </a:r>
        </a:p>
      </dgm:t>
    </dgm:pt>
    <dgm:pt modelId="{58068A1A-23F7-4850-ADFF-51C220700CED}" type="parTrans" cxnId="{0424D0BB-52E2-4416-A395-6DD3A7313402}">
      <dgm:prSet/>
      <dgm:spPr/>
      <dgm:t>
        <a:bodyPr/>
        <a:lstStyle/>
        <a:p>
          <a:endParaRPr lang="it-IT"/>
        </a:p>
      </dgm:t>
    </dgm:pt>
    <dgm:pt modelId="{E9F37F83-45BA-4D50-A59A-D1DF96538470}" type="sibTrans" cxnId="{0424D0BB-52E2-4416-A395-6DD3A7313402}">
      <dgm:prSet/>
      <dgm:spPr/>
      <dgm:t>
        <a:bodyPr/>
        <a:lstStyle/>
        <a:p>
          <a:endParaRPr lang="it-IT"/>
        </a:p>
      </dgm:t>
    </dgm:pt>
    <dgm:pt modelId="{217FE236-8ED0-42A8-B0F7-5631EF75BDC0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Navigazione sul lago Chamo</a:t>
          </a:r>
        </a:p>
      </dgm:t>
    </dgm:pt>
    <dgm:pt modelId="{26DEF54A-3D07-4648-94F8-89A0DF66E074}" type="parTrans" cxnId="{616DE804-6CD5-4EAB-A079-12FFAFE86F1F}">
      <dgm:prSet/>
      <dgm:spPr/>
      <dgm:t>
        <a:bodyPr/>
        <a:lstStyle/>
        <a:p>
          <a:endParaRPr lang="it-IT"/>
        </a:p>
      </dgm:t>
    </dgm:pt>
    <dgm:pt modelId="{3F46E9AF-3D64-4A1C-9D43-6B99919FFBBA}" type="sibTrans" cxnId="{616DE804-6CD5-4EAB-A079-12FFAFE86F1F}">
      <dgm:prSet/>
      <dgm:spPr/>
      <dgm:t>
        <a:bodyPr/>
        <a:lstStyle/>
        <a:p>
          <a:endParaRPr lang="it-IT"/>
        </a:p>
      </dgm:t>
    </dgm:pt>
    <dgm:pt modelId="{1AC1FFBF-37D6-4FA9-BEA7-261761AF00C1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Sistemazione in camera doppia in hotel 4* ad Addis Abeba, negli Emerald hotels a Turmi ed Arbaminch e nelle strutture presenti a Jinka (2-3*)</a:t>
          </a:r>
        </a:p>
      </dgm:t>
    </dgm:pt>
    <dgm:pt modelId="{E81E2134-D36A-45F1-AA81-7D2E40A7EA06}" type="parTrans" cxnId="{F0B81838-990F-4D08-8D79-EFC29353FF44}">
      <dgm:prSet/>
      <dgm:spPr/>
      <dgm:t>
        <a:bodyPr/>
        <a:lstStyle/>
        <a:p>
          <a:endParaRPr lang="it-IT"/>
        </a:p>
      </dgm:t>
    </dgm:pt>
    <dgm:pt modelId="{D4E79D63-D4E0-491B-954D-B665D59DAF1A}" type="sibTrans" cxnId="{F0B81838-990F-4D08-8D79-EFC29353FF44}">
      <dgm:prSet/>
      <dgm:spPr/>
      <dgm:t>
        <a:bodyPr/>
        <a:lstStyle/>
        <a:p>
          <a:endParaRPr lang="it-IT"/>
        </a:p>
      </dgm:t>
    </dgm:pt>
    <dgm:pt modelId="{2D29D5CA-8A52-4414-A170-F278454676A6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Prima colazione ad Addis Abeba e mezza pensione, acqua minerale inclusa, durante il tour</a:t>
          </a:r>
        </a:p>
      </dgm:t>
    </dgm:pt>
    <dgm:pt modelId="{96A162AB-CED5-4805-81F4-8546AC846020}" type="parTrans" cxnId="{98E5DBF0-C753-446A-815B-DAA86299393A}">
      <dgm:prSet/>
      <dgm:spPr/>
      <dgm:t>
        <a:bodyPr/>
        <a:lstStyle/>
        <a:p>
          <a:endParaRPr lang="it-IT"/>
        </a:p>
      </dgm:t>
    </dgm:pt>
    <dgm:pt modelId="{90EA9036-0825-4FD9-B97D-1855EB99A9F5}" type="sibTrans" cxnId="{98E5DBF0-C753-446A-815B-DAA86299393A}">
      <dgm:prSet/>
      <dgm:spPr/>
      <dgm:t>
        <a:bodyPr/>
        <a:lstStyle/>
        <a:p>
          <a:endParaRPr lang="it-IT"/>
        </a:p>
      </dgm:t>
    </dgm:pt>
    <dgm:pt modelId="{B761A3F4-4B01-4061-B844-7A328933F00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Guida locale parlante italiano</a:t>
          </a:r>
        </a:p>
      </dgm:t>
    </dgm:pt>
    <dgm:pt modelId="{8771EC4F-436B-4510-A587-FE15B51BF338}" type="parTrans" cxnId="{F33BD146-0B93-4C0C-B9BC-A812FF7A0441}">
      <dgm:prSet/>
      <dgm:spPr/>
      <dgm:t>
        <a:bodyPr/>
        <a:lstStyle/>
        <a:p>
          <a:endParaRPr lang="it-IT"/>
        </a:p>
      </dgm:t>
    </dgm:pt>
    <dgm:pt modelId="{1606F7DB-EB93-4548-BA93-A2480B6F5FF4}" type="sibTrans" cxnId="{F33BD146-0B93-4C0C-B9BC-A812FF7A0441}">
      <dgm:prSet/>
      <dgm:spPr/>
      <dgm:t>
        <a:bodyPr/>
        <a:lstStyle/>
        <a:p>
          <a:endParaRPr lang="it-IT"/>
        </a:p>
      </dgm:t>
    </dgm:pt>
    <dgm:pt modelId="{52F9AAB2-BC3E-41D8-B4B5-E2BF64D06D86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Ingressi e visite guidate ai siti come da programma</a:t>
          </a:r>
        </a:p>
      </dgm:t>
    </dgm:pt>
    <dgm:pt modelId="{2F357530-186A-492A-BC57-F01BF9A991C7}" type="parTrans" cxnId="{7F6964EF-0992-4C07-A1FF-EDAF0EC86976}">
      <dgm:prSet/>
      <dgm:spPr/>
      <dgm:t>
        <a:bodyPr/>
        <a:lstStyle/>
        <a:p>
          <a:endParaRPr lang="it-IT"/>
        </a:p>
      </dgm:t>
    </dgm:pt>
    <dgm:pt modelId="{85CB7DCD-A8A3-44E5-A1E2-B9CE62360905}" type="sibTrans" cxnId="{7F6964EF-0992-4C07-A1FF-EDAF0EC86976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32092" custLinFactY="300000" custLinFactNeighborX="600000" custLinFactNeighborY="307024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00000" custLinFactY="191249" custLinFactNeighborX="570289" custLinFactNeighborY="200000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00000" custLinFactY="100000" custLinFactNeighborX="523310" custLinFactNeighborY="118589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6434" custLinFactNeighborY="27927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9818" custScaleY="188172" custLinFactX="-17454" custLinFactNeighborX="-100000" custLinFactNeighborY="-2353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28957" custLinFactNeighborY="40082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43460" custLinFactNeighborY="-28057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988" custLinFactNeighborX="-1398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5854" custLinFactNeighborY="-24758"/>
      <dgm:spPr/>
      <dgm:t>
        <a:bodyPr/>
        <a:lstStyle/>
        <a:p>
          <a:endParaRPr lang="it-IT"/>
        </a:p>
      </dgm:t>
    </dgm:pt>
  </dgm:ptLst>
  <dgm:cxnLst>
    <dgm:cxn modelId="{938761B3-80D3-4F62-94D1-CB846C40343A}" type="presOf" srcId="{32D9EFA5-D2E2-4E0B-AC23-FA8989E7CF9E}" destId="{CD47E101-BF07-4FC1-B962-03B596F1FAF9}" srcOrd="0" destOrd="0" presId="urn:microsoft.com/office/officeart/2008/layout/AscendingPictureAccentProcess"/>
    <dgm:cxn modelId="{7F6964EF-0992-4C07-A1FF-EDAF0EC86976}" srcId="{B9EFB3B2-04C1-434C-8C0E-E58D01E21890}" destId="{52F9AAB2-BC3E-41D8-B4B5-E2BF64D06D86}" srcOrd="7" destOrd="0" parTransId="{2F357530-186A-492A-BC57-F01BF9A991C7}" sibTransId="{85CB7DCD-A8A3-44E5-A1E2-B9CE62360905}"/>
    <dgm:cxn modelId="{FD74FAE0-8B54-4CE9-8B88-BE5C931FC4AD}" type="presOf" srcId="{1542E4CA-B132-4028-97F6-35DCF68F7B82}" destId="{DE346E32-7D5F-47D1-AA8D-89CA499A85FB}" srcOrd="0" destOrd="3" presId="urn:microsoft.com/office/officeart/2008/layout/AscendingPictureAccentProcess"/>
    <dgm:cxn modelId="{F71A72E6-2D32-4298-B0CD-90F1A7373F30}" type="presOf" srcId="{7ABAF233-5D6E-4195-8DBC-1CBDD8CA3DCA}" destId="{924424F8-734D-41AB-8C06-2A98F78BB42A}" srcOrd="0" destOrd="0" presId="urn:microsoft.com/office/officeart/2008/layout/AscendingPictureAccentProcess"/>
    <dgm:cxn modelId="{F0B81838-990F-4D08-8D79-EFC29353FF44}" srcId="{B9EFB3B2-04C1-434C-8C0E-E58D01E21890}" destId="{1AC1FFBF-37D6-4FA9-BEA7-261761AF00C1}" srcOrd="4" destOrd="0" parTransId="{E81E2134-D36A-45F1-AA81-7D2E40A7EA06}" sibTransId="{D4E79D63-D4E0-491B-954D-B665D59DAF1A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9F3EDB05-D44A-4F2D-A9EC-045DDD8314A4}" type="presOf" srcId="{64BCE42C-AC4A-4656-AE51-EA42B35C0E57}" destId="{DE346E32-7D5F-47D1-AA8D-89CA499A85FB}" srcOrd="0" destOrd="5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E2D60AFF-A677-4148-AB12-F938B4E79B1A}" type="presOf" srcId="{217FE236-8ED0-42A8-B0F7-5631EF75BDC0}" destId="{B975BC81-EFDA-45F8-AB69-AE986F45CAFE}" srcOrd="0" destOrd="3" presId="urn:microsoft.com/office/officeart/2008/layout/AscendingPictureAccentProcess"/>
    <dgm:cxn modelId="{C6CEA30C-5DB0-4FF4-8475-78250DF64FD3}" srcId="{2846BB9D-E2D2-48C3-B0AB-1D84810A805A}" destId="{1542E4CA-B132-4028-97F6-35DCF68F7B82}" srcOrd="3" destOrd="0" parTransId="{914CC214-36EB-4F7F-9B3A-A0EB8A3EECF1}" sibTransId="{EA3B4C4C-1DAF-4278-A7A1-5FB5E8187A44}"/>
    <dgm:cxn modelId="{7502B620-A786-4D70-85D1-80AFF0D6F438}" type="presOf" srcId="{BCC0199B-B5CF-447B-819D-F54764145802}" destId="{3CAFA977-0E57-4B0E-97EC-B6890706149D}" srcOrd="0" destOrd="0" presId="urn:microsoft.com/office/officeart/2008/layout/AscendingPictureAccentProcess"/>
    <dgm:cxn modelId="{0424D0BB-52E2-4416-A395-6DD3A7313402}" srcId="{B9EFB3B2-04C1-434C-8C0E-E58D01E21890}" destId="{4EF1016C-31C1-4309-948F-C923F9776B58}" srcOrd="2" destOrd="0" parTransId="{58068A1A-23F7-4850-ADFF-51C220700CED}" sibTransId="{E9F37F83-45BA-4D50-A59A-D1DF96538470}"/>
    <dgm:cxn modelId="{616DE804-6CD5-4EAB-A079-12FFAFE86F1F}" srcId="{B9EFB3B2-04C1-434C-8C0E-E58D01E21890}" destId="{217FE236-8ED0-42A8-B0F7-5631EF75BDC0}" srcOrd="3" destOrd="0" parTransId="{26DEF54A-3D07-4648-94F8-89A0DF66E074}" sibTransId="{3F46E9AF-3D64-4A1C-9D43-6B99919FFBBA}"/>
    <dgm:cxn modelId="{265ADFB3-D991-4B1A-990A-B3A692A9D575}" srcId="{2846BB9D-E2D2-48C3-B0AB-1D84810A805A}" destId="{64BCE42C-AC4A-4656-AE51-EA42B35C0E57}" srcOrd="5" destOrd="0" parTransId="{45F20460-FFFE-4606-9B49-7FAB435D0837}" sibTransId="{E50871C0-BE36-4EF9-ACA9-BD0C5019A850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DEA0ECF4-9579-4BD2-8ED5-84E3324ADE67}" type="presOf" srcId="{B9EFB3B2-04C1-434C-8C0E-E58D01E21890}" destId="{1DB6E2CA-DC07-42C6-AB5A-73170FA2C282}" srcOrd="0" destOrd="0" presId="urn:microsoft.com/office/officeart/2008/layout/AscendingPictureAccentProcess"/>
    <dgm:cxn modelId="{8EE1E17E-FB82-4E81-BE2C-58D5A221A903}" type="presOf" srcId="{B761A3F4-4B01-4061-B844-7A328933F009}" destId="{B975BC81-EFDA-45F8-AB69-AE986F45CAFE}" srcOrd="0" destOrd="6" presId="urn:microsoft.com/office/officeart/2008/layout/AscendingPictureAccentProcess"/>
    <dgm:cxn modelId="{F33BD146-0B93-4C0C-B9BC-A812FF7A0441}" srcId="{B9EFB3B2-04C1-434C-8C0E-E58D01E21890}" destId="{B761A3F4-4B01-4061-B844-7A328933F009}" srcOrd="6" destOrd="0" parTransId="{8771EC4F-436B-4510-A587-FE15B51BF338}" sibTransId="{1606F7DB-EB93-4548-BA93-A2480B6F5FF4}"/>
    <dgm:cxn modelId="{77DD9F7D-3006-47DA-8E27-C85DB807905C}" srcId="{2846BB9D-E2D2-48C3-B0AB-1D84810A805A}" destId="{D00C6118-02D2-4544-B677-28DC1703BC60}" srcOrd="2" destOrd="0" parTransId="{69AF75D7-1E56-4050-87FB-5E970553ECFC}" sibTransId="{CFC146CB-E31F-44D5-B001-3C33B4E6C393}"/>
    <dgm:cxn modelId="{7420A7A7-BFC3-4928-8F37-E0802A88B890}" type="presOf" srcId="{2846BB9D-E2D2-48C3-B0AB-1D84810A805A}" destId="{F79DD96A-273F-4AB2-A84E-A6494F390F91}" srcOrd="0" destOrd="0" presId="urn:microsoft.com/office/officeart/2008/layout/AscendingPictureAccentProcess"/>
    <dgm:cxn modelId="{0414AEE0-E091-4AA5-9047-876BBA11F383}" type="presOf" srcId="{DBD799E1-4B7B-4FD3-A525-68CDA8A8DF42}" destId="{B975BC81-EFDA-45F8-AB69-AE986F45CAFE}" srcOrd="0" destOrd="8" presId="urn:microsoft.com/office/officeart/2008/layout/AscendingPictureAccentProcess"/>
    <dgm:cxn modelId="{CB877B73-FDB8-433F-8894-645CD85254D6}" type="presOf" srcId="{1AC1FFBF-37D6-4FA9-BEA7-261761AF00C1}" destId="{B975BC81-EFDA-45F8-AB69-AE986F45CAFE}" srcOrd="0" destOrd="4" presId="urn:microsoft.com/office/officeart/2008/layout/AscendingPictureAccentProcess"/>
    <dgm:cxn modelId="{75562BF2-6475-44B8-AD56-9315E0FB80ED}" type="presOf" srcId="{3B0D4BF2-4A34-4748-8D6B-CB79106FBEC4}" destId="{B975BC81-EFDA-45F8-AB69-AE986F45CAFE}" srcOrd="0" destOrd="1" presId="urn:microsoft.com/office/officeart/2008/layout/AscendingPictureAccentProcess"/>
    <dgm:cxn modelId="{08515368-59CC-43C0-ABD5-7A8BFF4264B2}" type="presOf" srcId="{0C4FB70C-7AAC-4FC2-BF99-43DD5CB2E03E}" destId="{DE346E32-7D5F-47D1-AA8D-89CA499A85FB}" srcOrd="0" destOrd="0" presId="urn:microsoft.com/office/officeart/2008/layout/AscendingPictureAccentProcess"/>
    <dgm:cxn modelId="{5438B316-84B2-42D4-9E93-2235279A480C}" type="presOf" srcId="{52F9AAB2-BC3E-41D8-B4B5-E2BF64D06D86}" destId="{B975BC81-EFDA-45F8-AB69-AE986F45CAFE}" srcOrd="0" destOrd="7" presId="urn:microsoft.com/office/officeart/2008/layout/AscendingPictureAccentProcess"/>
    <dgm:cxn modelId="{9BDC8703-C94C-4BB3-8168-0CF49A6AD853}" type="presOf" srcId="{4A70C933-73C6-48E2-BB88-9EAD590343DD}" destId="{DE346E32-7D5F-47D1-AA8D-89CA499A85FB}" srcOrd="0" destOrd="1" presId="urn:microsoft.com/office/officeart/2008/layout/AscendingPictureAccentProcess"/>
    <dgm:cxn modelId="{2F7729F9-800B-49F7-A7E4-A8C14A2E018F}" type="presOf" srcId="{4EF1016C-31C1-4309-948F-C923F9776B58}" destId="{B975BC81-EFDA-45F8-AB69-AE986F45CAFE}" srcOrd="0" destOrd="2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7F31AD0E-B834-4B9F-B19A-F00A1F5C893B}" type="presOf" srcId="{2D29D5CA-8A52-4414-A170-F278454676A6}" destId="{B975BC81-EFDA-45F8-AB69-AE986F45CAFE}" srcOrd="0" destOrd="5" presId="urn:microsoft.com/office/officeart/2008/layout/AscendingPictureAccentProcess"/>
    <dgm:cxn modelId="{9F531151-27EF-4E64-B81B-D2557A6829F7}" type="presOf" srcId="{F3EE349A-E087-4CDE-A8B9-3D96E698A5FB}" destId="{DE346E32-7D5F-47D1-AA8D-89CA499A85FB}" srcOrd="0" destOrd="4" presId="urn:microsoft.com/office/officeart/2008/layout/AscendingPictureAccentProcess"/>
    <dgm:cxn modelId="{7D2D9264-E8A3-48EE-A4A5-EBB6493B26F5}" srcId="{2846BB9D-E2D2-48C3-B0AB-1D84810A805A}" destId="{F3EE349A-E087-4CDE-A8B9-3D96E698A5FB}" srcOrd="4" destOrd="0" parTransId="{455F7DEB-FA49-4592-A69F-EBFF6E59B9DE}" sibTransId="{770D56E8-0DEB-4363-BE94-1157084189CA}"/>
    <dgm:cxn modelId="{98E5DBF0-C753-446A-815B-DAA86299393A}" srcId="{B9EFB3B2-04C1-434C-8C0E-E58D01E21890}" destId="{2D29D5CA-8A52-4414-A170-F278454676A6}" srcOrd="5" destOrd="0" parTransId="{96A162AB-CED5-4805-81F4-8546AC846020}" sibTransId="{90EA9036-0825-4FD9-B97D-1855EB99A9F5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3D183D51-3754-454A-8D45-2DA5A8E40657}" srcId="{B9EFB3B2-04C1-434C-8C0E-E58D01E21890}" destId="{DBD799E1-4B7B-4FD3-A525-68CDA8A8DF42}" srcOrd="8" destOrd="0" parTransId="{8720DCBE-CB78-4BAB-9124-3C996629B72F}" sibTransId="{C418D44F-8DDB-42DF-9E34-F0066AE067F4}"/>
    <dgm:cxn modelId="{D7A13401-33B8-4052-8AEC-53FB66F3DCCC}" type="presOf" srcId="{D00C6118-02D2-4544-B677-28DC1703BC60}" destId="{DE346E32-7D5F-47D1-AA8D-89CA499A85FB}" srcOrd="0" destOrd="2" presId="urn:microsoft.com/office/officeart/2008/layout/AscendingPictureAccentProcess"/>
    <dgm:cxn modelId="{829AEFB2-6224-47FB-B3D7-B8E5AD37795C}" type="presOf" srcId="{1986B0CB-4D46-44FA-9489-5BEAA1DEA259}" destId="{B975BC81-EFDA-45F8-AB69-AE986F45CAFE}" srcOrd="0" destOrd="0" presId="urn:microsoft.com/office/officeart/2008/layout/AscendingPictureAccentProcess"/>
    <dgm:cxn modelId="{F501F284-6A35-409F-8F15-D2E166113DF7}" type="presParOf" srcId="{CD47E101-BF07-4FC1-B962-03B596F1FAF9}" destId="{865E7287-51CB-44C9-A58F-41CDFDFEBEC0}" srcOrd="0" destOrd="0" presId="urn:microsoft.com/office/officeart/2008/layout/AscendingPictureAccentProcess"/>
    <dgm:cxn modelId="{D3364779-4409-4440-8C77-2FF4FECA0222}" type="presParOf" srcId="{CD47E101-BF07-4FC1-B962-03B596F1FAF9}" destId="{E615ED71-03DB-4557-AE2F-2D7179C6E40E}" srcOrd="1" destOrd="0" presId="urn:microsoft.com/office/officeart/2008/layout/AscendingPictureAccentProcess"/>
    <dgm:cxn modelId="{66D52DD4-386E-4668-879B-47D0DA35EBB4}" type="presParOf" srcId="{CD47E101-BF07-4FC1-B962-03B596F1FAF9}" destId="{7BA5F20D-826D-4701-9890-89A01EB9BFB2}" srcOrd="2" destOrd="0" presId="urn:microsoft.com/office/officeart/2008/layout/AscendingPictureAccentProcess"/>
    <dgm:cxn modelId="{3952E820-3710-4867-9700-8188BABD0C5D}" type="presParOf" srcId="{CD47E101-BF07-4FC1-B962-03B596F1FAF9}" destId="{74EB2E8F-5904-4168-8B27-0DABB3AE8BCD}" srcOrd="3" destOrd="0" presId="urn:microsoft.com/office/officeart/2008/layout/AscendingPictureAccentProcess"/>
    <dgm:cxn modelId="{98001DF5-E433-48BC-9344-4078F5C3BE06}" type="presParOf" srcId="{CD47E101-BF07-4FC1-B962-03B596F1FAF9}" destId="{6F58C7ED-1261-47E1-848D-67892ECC688E}" srcOrd="4" destOrd="0" presId="urn:microsoft.com/office/officeart/2008/layout/AscendingPictureAccentProcess"/>
    <dgm:cxn modelId="{77C18C75-7836-46F7-A03E-9707F0A203EA}" type="presParOf" srcId="{CD47E101-BF07-4FC1-B962-03B596F1FAF9}" destId="{407584A5-5333-442D-82EA-D7C280C30B4F}" srcOrd="5" destOrd="0" presId="urn:microsoft.com/office/officeart/2008/layout/AscendingPictureAccentProcess"/>
    <dgm:cxn modelId="{444BC5A2-E534-4C43-A8AE-64EA6D172EE0}" type="presParOf" srcId="{CD47E101-BF07-4FC1-B962-03B596F1FAF9}" destId="{3215073F-F1BE-499F-89C1-B30AEF2C2013}" srcOrd="6" destOrd="0" presId="urn:microsoft.com/office/officeart/2008/layout/AscendingPictureAccentProcess"/>
    <dgm:cxn modelId="{3E8E55B8-A97C-4EDC-A7BD-39851EEEFDA2}" type="presParOf" srcId="{CD47E101-BF07-4FC1-B962-03B596F1FAF9}" destId="{10D91708-68B6-4486-8E93-342881ABAE96}" srcOrd="7" destOrd="0" presId="urn:microsoft.com/office/officeart/2008/layout/AscendingPictureAccentProcess"/>
    <dgm:cxn modelId="{174EC610-9CCA-4784-AA70-D1D2C19CA921}" type="presParOf" srcId="{CD47E101-BF07-4FC1-B962-03B596F1FAF9}" destId="{1DE26DB4-16C9-4F7A-9000-903462F58C1F}" srcOrd="8" destOrd="0" presId="urn:microsoft.com/office/officeart/2008/layout/AscendingPictureAccentProcess"/>
    <dgm:cxn modelId="{F8A114E6-0A6E-4CBF-938D-AF050AB2C5EC}" type="presParOf" srcId="{CD47E101-BF07-4FC1-B962-03B596F1FAF9}" destId="{68D8D1C1-BD40-4F96-BEBA-39987B2CA5DC}" srcOrd="9" destOrd="0" presId="urn:microsoft.com/office/officeart/2008/layout/AscendingPictureAccentProcess"/>
    <dgm:cxn modelId="{30B70C26-BB78-45AB-B214-A6F129170A49}" type="presParOf" srcId="{CD47E101-BF07-4FC1-B962-03B596F1FAF9}" destId="{F79DD96A-273F-4AB2-A84E-A6494F390F91}" srcOrd="10" destOrd="0" presId="urn:microsoft.com/office/officeart/2008/layout/AscendingPictureAccentProcess"/>
    <dgm:cxn modelId="{1BE7EC73-5C46-497F-B5E3-6A5916EA792E}" type="presParOf" srcId="{CD47E101-BF07-4FC1-B962-03B596F1FAF9}" destId="{DE346E32-7D5F-47D1-AA8D-89CA499A85FB}" srcOrd="11" destOrd="0" presId="urn:microsoft.com/office/officeart/2008/layout/AscendingPictureAccentProcess"/>
    <dgm:cxn modelId="{12A5907C-0C89-4FCA-8641-6C797E146CDF}" type="presParOf" srcId="{CD47E101-BF07-4FC1-B962-03B596F1FAF9}" destId="{28AA57E8-3AC5-478C-BC50-FFB3E0ADB94B}" srcOrd="12" destOrd="0" presId="urn:microsoft.com/office/officeart/2008/layout/AscendingPictureAccentProcess"/>
    <dgm:cxn modelId="{48864328-0B62-4602-B4F8-A77ADC0D906C}" type="presParOf" srcId="{28AA57E8-3AC5-478C-BC50-FFB3E0ADB94B}" destId="{924424F8-734D-41AB-8C06-2A98F78BB42A}" srcOrd="0" destOrd="0" presId="urn:microsoft.com/office/officeart/2008/layout/AscendingPictureAccentProcess"/>
    <dgm:cxn modelId="{191695AB-7913-4468-88C0-A3FF8D7EC32B}" type="presParOf" srcId="{CD47E101-BF07-4FC1-B962-03B596F1FAF9}" destId="{1DB6E2CA-DC07-42C6-AB5A-73170FA2C282}" srcOrd="13" destOrd="0" presId="urn:microsoft.com/office/officeart/2008/layout/AscendingPictureAccentProcess"/>
    <dgm:cxn modelId="{03DDC4AB-669B-441E-B715-15A42CA7F0AB}" type="presParOf" srcId="{CD47E101-BF07-4FC1-B962-03B596F1FAF9}" destId="{B975BC81-EFDA-45F8-AB69-AE986F45CAFE}" srcOrd="14" destOrd="0" presId="urn:microsoft.com/office/officeart/2008/layout/AscendingPictureAccentProcess"/>
    <dgm:cxn modelId="{9213E36E-0E66-4259-9498-9A8F00925A34}" type="presParOf" srcId="{CD47E101-BF07-4FC1-B962-03B596F1FAF9}" destId="{412719DB-DD2B-47C7-AF19-B7EC5046F286}" srcOrd="15" destOrd="0" presId="urn:microsoft.com/office/officeart/2008/layout/AscendingPictureAccentProcess"/>
    <dgm:cxn modelId="{3E4E92F3-0D24-422C-A11E-98F2D9821983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595691" y="2437829"/>
          <a:ext cx="113891" cy="11389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425344" y="2352315"/>
          <a:ext cx="113891" cy="113891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252495" y="2294399"/>
          <a:ext cx="113891" cy="113891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29998" y="133816"/>
          <a:ext cx="113891" cy="113891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82056" y="42945"/>
          <a:ext cx="113891" cy="113891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34114" y="-47925"/>
          <a:ext cx="113891" cy="113891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86172" y="42945"/>
          <a:ext cx="113891" cy="113891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38835" y="133816"/>
          <a:ext cx="113891" cy="113891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34114" y="143812"/>
          <a:ext cx="113891" cy="113891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34114" y="335551"/>
          <a:ext cx="113891" cy="113891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733419" y="2671791"/>
          <a:ext cx="2462003" cy="66033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1124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non comprende:</a:t>
          </a:r>
          <a:endParaRPr lang="it-IT" sz="1600" kern="1200"/>
        </a:p>
      </dsp:txBody>
      <dsp:txXfrm>
        <a:off x="2765654" y="2704026"/>
        <a:ext cx="2397533" cy="595860"/>
      </dsp:txXfrm>
    </dsp:sp>
    <dsp:sp modelId="{DE346E32-7D5F-47D1-AA8D-89CA499A85FB}">
      <dsp:nvSpPr>
        <dsp:cNvPr id="0" name=""/>
        <dsp:cNvSpPr/>
      </dsp:nvSpPr>
      <dsp:spPr>
        <a:xfrm>
          <a:off x="7346" y="2040865"/>
          <a:ext cx="2878788" cy="12425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Tasse aeroportuali € 223,00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Supplemento singola € 105,00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</dsp:txBody>
      <dsp:txXfrm>
        <a:off x="7346" y="2040865"/>
        <a:ext cx="2878788" cy="1242557"/>
      </dsp:txXfrm>
    </dsp:sp>
    <dsp:sp modelId="{924424F8-734D-41AB-8C06-2A98F78BB42A}">
      <dsp:nvSpPr>
        <dsp:cNvPr id="0" name=""/>
        <dsp:cNvSpPr/>
      </dsp:nvSpPr>
      <dsp:spPr>
        <a:xfrm rot="677316">
          <a:off x="4818532" y="2148888"/>
          <a:ext cx="1141342" cy="1141342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76201" y="1010529"/>
          <a:ext cx="2462003" cy="66033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1124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comprende:</a:t>
          </a:r>
          <a:endParaRPr lang="it-IT" sz="1600" kern="1200"/>
        </a:p>
      </dsp:txBody>
      <dsp:txXfrm>
        <a:off x="608436" y="1042764"/>
        <a:ext cx="2397533" cy="595860"/>
      </dsp:txXfrm>
    </dsp:sp>
    <dsp:sp modelId="{B975BC81-EFDA-45F8-AB69-AE986F45CAFE}">
      <dsp:nvSpPr>
        <dsp:cNvPr id="0" name=""/>
        <dsp:cNvSpPr/>
      </dsp:nvSpPr>
      <dsp:spPr>
        <a:xfrm>
          <a:off x="3090593" y="4456"/>
          <a:ext cx="3358978" cy="14451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Tutti i trasferimenti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Veicoli: minibus ad Addis Abeba e nelle regioni settentrionali secondo partecipanti; Toyota Land Cruiser 4WD a Sud con un carico massimo di 4 occupanti oltre all’autista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Navigazione sul lago Chamo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Sistemazione in camera doppia in hotel 4* ad Addis Abeba, negli Emerald hotels a Turmi ed Arbaminch e nelle strutture presenti a Jinka (2-3*)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Prima colazione ad Addis Abeba e mezza pensione, acqua minerale inclusa, durante il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Guida locale parlante italiano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Ingressi e visite guidate ai siti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Assicurazione medico bagaglio</a:t>
          </a:r>
        </a:p>
      </dsp:txBody>
      <dsp:txXfrm>
        <a:off x="3090593" y="4456"/>
        <a:ext cx="3358978" cy="1445173"/>
      </dsp:txXfrm>
    </dsp:sp>
    <dsp:sp modelId="{3CAFA977-0E57-4B0E-97EC-B6890706149D}">
      <dsp:nvSpPr>
        <dsp:cNvPr id="0" name=""/>
        <dsp:cNvSpPr/>
      </dsp:nvSpPr>
      <dsp:spPr>
        <a:xfrm rot="20694210">
          <a:off x="128688" y="241080"/>
          <a:ext cx="1155552" cy="1141342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287F-8916-47A7-B21C-78798A48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61</cp:revision>
  <cp:lastPrinted>2015-03-11T09:10:00Z</cp:lastPrinted>
  <dcterms:created xsi:type="dcterms:W3CDTF">2017-08-23T14:10:00Z</dcterms:created>
  <dcterms:modified xsi:type="dcterms:W3CDTF">2018-01-08T11:23:00Z</dcterms:modified>
</cp:coreProperties>
</file>